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DE71B" w14:textId="77777777" w:rsidR="009A392B" w:rsidRDefault="009A392B">
      <w:pPr>
        <w:pBdr>
          <w:top w:val="nil"/>
          <w:left w:val="nil"/>
          <w:bottom w:val="nil"/>
          <w:right w:val="nil"/>
          <w:between w:val="nil"/>
        </w:pBdr>
        <w:spacing w:line="276" w:lineRule="auto"/>
        <w:rPr>
          <w:color w:val="000000"/>
        </w:rPr>
      </w:pPr>
    </w:p>
    <w:tbl>
      <w:tblPr>
        <w:tblStyle w:val="a"/>
        <w:tblW w:w="11520" w:type="dxa"/>
        <w:tblInd w:w="107" w:type="dxa"/>
        <w:tblLayout w:type="fixed"/>
        <w:tblLook w:val="0000" w:firstRow="0" w:lastRow="0" w:firstColumn="0" w:lastColumn="0" w:noHBand="0" w:noVBand="0"/>
      </w:tblPr>
      <w:tblGrid>
        <w:gridCol w:w="11520"/>
      </w:tblGrid>
      <w:tr w:rsidR="009A392B" w14:paraId="7F8A8EA6" w14:textId="77777777">
        <w:trPr>
          <w:trHeight w:val="1020"/>
        </w:trPr>
        <w:tc>
          <w:tcPr>
            <w:tcW w:w="11520" w:type="dxa"/>
            <w:tcBorders>
              <w:bottom w:val="single" w:sz="4" w:space="0" w:color="000000"/>
            </w:tcBorders>
          </w:tcPr>
          <w:p w14:paraId="0B27A8F0" w14:textId="77777777" w:rsidR="009A392B" w:rsidRDefault="00000000">
            <w:pPr>
              <w:pBdr>
                <w:top w:val="nil"/>
                <w:left w:val="nil"/>
                <w:bottom w:val="nil"/>
                <w:right w:val="nil"/>
                <w:between w:val="nil"/>
              </w:pBdr>
              <w:ind w:left="2" w:right="2"/>
              <w:jc w:val="center"/>
              <w:rPr>
                <w:rFonts w:ascii="Georgia" w:eastAsia="Georgia" w:hAnsi="Georgia" w:cs="Georgia"/>
                <w:b/>
                <w:bCs/>
                <w:color w:val="000000"/>
                <w:sz w:val="20"/>
                <w:szCs w:val="20"/>
              </w:rPr>
            </w:pPr>
            <w:r>
              <w:rPr>
                <w:rFonts w:ascii="Georgia" w:eastAsia="Georgia" w:hAnsi="Georgia" w:cs="Georgia"/>
                <w:b/>
                <w:bCs/>
                <w:color w:val="000000"/>
                <w:sz w:val="20"/>
                <w:szCs w:val="20"/>
              </w:rPr>
              <w:t>Webinar Title</w:t>
            </w:r>
          </w:p>
          <w:p w14:paraId="0B88C686" w14:textId="77777777" w:rsidR="009A392B" w:rsidRDefault="009A392B">
            <w:pPr>
              <w:pBdr>
                <w:top w:val="nil"/>
                <w:left w:val="nil"/>
                <w:bottom w:val="nil"/>
                <w:right w:val="nil"/>
                <w:between w:val="nil"/>
              </w:pBdr>
              <w:ind w:left="2" w:right="2"/>
              <w:jc w:val="center"/>
              <w:rPr>
                <w:rFonts w:ascii="Georgia" w:eastAsia="Georgia" w:hAnsi="Georgia" w:cs="Georgia"/>
                <w:b/>
                <w:bCs/>
                <w:color w:val="000000"/>
                <w:sz w:val="20"/>
                <w:szCs w:val="20"/>
              </w:rPr>
            </w:pPr>
          </w:p>
          <w:p w14:paraId="1934B329" w14:textId="77777777" w:rsidR="009A392B" w:rsidRDefault="00000000">
            <w:pPr>
              <w:pBdr>
                <w:top w:val="nil"/>
                <w:left w:val="nil"/>
                <w:bottom w:val="nil"/>
                <w:right w:val="nil"/>
                <w:between w:val="nil"/>
              </w:pBdr>
              <w:ind w:left="2" w:right="2"/>
              <w:jc w:val="center"/>
              <w:rPr>
                <w:rFonts w:ascii="Georgia" w:eastAsia="Georgia" w:hAnsi="Georgia" w:cs="Georgia"/>
                <w:color w:val="000000"/>
                <w:sz w:val="20"/>
                <w:szCs w:val="20"/>
              </w:rPr>
            </w:pPr>
            <w:r>
              <w:rPr>
                <w:rFonts w:ascii="Georgia" w:eastAsia="Georgia" w:hAnsi="Georgia" w:cs="Georgia"/>
                <w:color w:val="000000"/>
                <w:sz w:val="20"/>
                <w:szCs w:val="20"/>
              </w:rPr>
              <w:t>From Research to Action: Outcomes from Colorado’s Alternative Response Pilot for Tailored APS Intervention</w:t>
            </w:r>
          </w:p>
          <w:p w14:paraId="15C9F361" w14:textId="77777777" w:rsidR="009A392B" w:rsidRDefault="00000000">
            <w:pPr>
              <w:tabs>
                <w:tab w:val="left" w:pos="10260"/>
              </w:tabs>
              <w:rPr>
                <w:rFonts w:ascii="Georgia" w:eastAsia="Georgia" w:hAnsi="Georgia" w:cs="Georgia"/>
              </w:rPr>
            </w:pPr>
            <w:r>
              <w:rPr>
                <w:rFonts w:ascii="Georgia" w:eastAsia="Georgia" w:hAnsi="Georgia" w:cs="Georgia"/>
              </w:rPr>
              <w:tab/>
            </w:r>
          </w:p>
        </w:tc>
      </w:tr>
      <w:tr w:rsidR="009A392B" w14:paraId="3D835783" w14:textId="77777777">
        <w:trPr>
          <w:trHeight w:val="1155"/>
        </w:trPr>
        <w:tc>
          <w:tcPr>
            <w:tcW w:w="11520" w:type="dxa"/>
            <w:tcBorders>
              <w:top w:val="single" w:sz="4" w:space="0" w:color="000000"/>
              <w:bottom w:val="single" w:sz="4" w:space="0" w:color="000000"/>
            </w:tcBorders>
          </w:tcPr>
          <w:p w14:paraId="018F8246" w14:textId="77777777" w:rsidR="009A392B" w:rsidRDefault="00000000">
            <w:pPr>
              <w:pBdr>
                <w:top w:val="nil"/>
                <w:left w:val="nil"/>
                <w:bottom w:val="nil"/>
                <w:right w:val="nil"/>
                <w:between w:val="nil"/>
              </w:pBdr>
              <w:spacing w:before="42"/>
              <w:ind w:left="2"/>
              <w:jc w:val="center"/>
              <w:rPr>
                <w:rFonts w:ascii="Georgia" w:eastAsia="Georgia" w:hAnsi="Georgia" w:cs="Georgia"/>
                <w:b/>
                <w:bCs/>
                <w:color w:val="000000"/>
                <w:sz w:val="20"/>
                <w:szCs w:val="20"/>
              </w:rPr>
            </w:pPr>
            <w:r>
              <w:rPr>
                <w:rFonts w:ascii="Georgia" w:eastAsia="Georgia" w:hAnsi="Georgia" w:cs="Georgia"/>
                <w:b/>
                <w:bCs/>
                <w:color w:val="000000"/>
                <w:sz w:val="20"/>
                <w:szCs w:val="20"/>
              </w:rPr>
              <w:t>Author(s)</w:t>
            </w:r>
          </w:p>
          <w:p w14:paraId="79857697" w14:textId="77777777" w:rsidR="009A392B" w:rsidRDefault="009A392B">
            <w:pPr>
              <w:rPr>
                <w:rFonts w:ascii="Georgia" w:eastAsia="Georgia" w:hAnsi="Georgia" w:cs="Georgia"/>
              </w:rPr>
            </w:pPr>
          </w:p>
          <w:p w14:paraId="102383C8" w14:textId="77777777" w:rsidR="009A392B" w:rsidRDefault="00000000">
            <w:pPr>
              <w:tabs>
                <w:tab w:val="left" w:pos="7120"/>
              </w:tabs>
              <w:rPr>
                <w:rFonts w:ascii="Georgia" w:eastAsia="Georgia" w:hAnsi="Georgia" w:cs="Georgia"/>
              </w:rPr>
            </w:pPr>
            <w:r>
              <w:rPr>
                <w:rFonts w:ascii="Georgia" w:eastAsia="Georgia" w:hAnsi="Georgia" w:cs="Georgia"/>
                <w:sz w:val="20"/>
                <w:szCs w:val="20"/>
              </w:rPr>
              <w:t>Courtney L. Everson, PhD; Ernest Boffy-Ramirez, PhD; Erin Wickerham, MPH</w:t>
            </w:r>
          </w:p>
        </w:tc>
      </w:tr>
      <w:tr w:rsidR="009A392B" w14:paraId="533A73CB" w14:textId="77777777">
        <w:trPr>
          <w:trHeight w:val="1240"/>
        </w:trPr>
        <w:tc>
          <w:tcPr>
            <w:tcW w:w="11520" w:type="dxa"/>
            <w:tcBorders>
              <w:top w:val="single" w:sz="4" w:space="0" w:color="000000"/>
              <w:bottom w:val="single" w:sz="4" w:space="0" w:color="000000"/>
            </w:tcBorders>
          </w:tcPr>
          <w:p w14:paraId="72C11DD8" w14:textId="77777777" w:rsidR="009A392B" w:rsidRDefault="00000000">
            <w:pPr>
              <w:pBdr>
                <w:top w:val="nil"/>
                <w:left w:val="nil"/>
                <w:bottom w:val="nil"/>
                <w:right w:val="nil"/>
                <w:between w:val="nil"/>
              </w:pBdr>
              <w:spacing w:before="41"/>
              <w:ind w:left="2" w:right="1"/>
              <w:jc w:val="center"/>
              <w:rPr>
                <w:rFonts w:ascii="Georgia" w:eastAsia="Georgia" w:hAnsi="Georgia" w:cs="Georgia"/>
                <w:b/>
                <w:bCs/>
                <w:color w:val="000000"/>
                <w:sz w:val="20"/>
                <w:szCs w:val="20"/>
              </w:rPr>
            </w:pPr>
            <w:r>
              <w:rPr>
                <w:rFonts w:ascii="Georgia" w:eastAsia="Georgia" w:hAnsi="Georgia" w:cs="Georgia"/>
                <w:b/>
                <w:bCs/>
                <w:color w:val="000000"/>
                <w:sz w:val="20"/>
                <w:szCs w:val="20"/>
              </w:rPr>
              <w:t xml:space="preserve">Citation (with Web link or DOI) </w:t>
            </w:r>
          </w:p>
          <w:p w14:paraId="75A2DED4" w14:textId="77777777" w:rsidR="009A392B" w:rsidRDefault="009A392B">
            <w:pPr>
              <w:rPr>
                <w:rFonts w:ascii="Georgia" w:eastAsia="Georgia" w:hAnsi="Georgia" w:cs="Georgia"/>
                <w:b/>
                <w:bCs/>
                <w:sz w:val="20"/>
                <w:szCs w:val="20"/>
              </w:rPr>
            </w:pPr>
          </w:p>
          <w:p w14:paraId="044B527F" w14:textId="7210F6BE" w:rsidR="009A392B" w:rsidRDefault="00000000">
            <w:pPr>
              <w:jc w:val="center"/>
              <w:rPr>
                <w:rFonts w:ascii="Georgia" w:eastAsia="Georgia" w:hAnsi="Georgia" w:cs="Georgia"/>
              </w:rPr>
            </w:pPr>
            <w:r>
              <w:rPr>
                <w:rFonts w:ascii="Georgia" w:eastAsia="Georgia" w:hAnsi="Georgia" w:cs="Georgia"/>
              </w:rPr>
              <w:t xml:space="preserve">Everson, C.L., Boffy-Ramirez, E., &amp; Wickerham, E. (November 2025). </w:t>
            </w:r>
            <w:r>
              <w:rPr>
                <w:rFonts w:ascii="Georgia" w:eastAsia="Georgia" w:hAnsi="Georgia" w:cs="Georgia"/>
                <w:i/>
                <w:iCs/>
              </w:rPr>
              <w:t xml:space="preserve">Effectiveness of </w:t>
            </w:r>
            <w:proofErr w:type="gramStart"/>
            <w:r>
              <w:rPr>
                <w:rFonts w:ascii="Georgia" w:eastAsia="Georgia" w:hAnsi="Georgia" w:cs="Georgia"/>
                <w:i/>
                <w:iCs/>
              </w:rPr>
              <w:t>the  Alternative</w:t>
            </w:r>
            <w:proofErr w:type="gramEnd"/>
            <w:r>
              <w:rPr>
                <w:rFonts w:ascii="Georgia" w:eastAsia="Georgia" w:hAnsi="Georgia" w:cs="Georgia"/>
                <w:i/>
                <w:iCs/>
              </w:rPr>
              <w:t xml:space="preserve"> Response Pilot: 2-year outcomes </w:t>
            </w:r>
            <w:r>
              <w:rPr>
                <w:rFonts w:ascii="Georgia" w:eastAsia="Georgia" w:hAnsi="Georgia" w:cs="Georgia"/>
              </w:rPr>
              <w:t>(Policy Brief). (Report No. 21-09G). Denver, CO</w:t>
            </w:r>
            <w:proofErr w:type="gramStart"/>
            <w:r>
              <w:rPr>
                <w:rFonts w:ascii="Georgia" w:eastAsia="Georgia" w:hAnsi="Georgia" w:cs="Georgia"/>
              </w:rPr>
              <w:t>:  Colorado</w:t>
            </w:r>
            <w:proofErr w:type="gramEnd"/>
            <w:r>
              <w:rPr>
                <w:rFonts w:ascii="Georgia" w:eastAsia="Georgia" w:hAnsi="Georgia" w:cs="Georgia"/>
              </w:rPr>
              <w:t xml:space="preserve"> Evaluation and Action Lab at the University of Denver. </w:t>
            </w:r>
            <w:hyperlink r:id="rId8" w:history="1">
              <w:r w:rsidR="00382BC7" w:rsidRPr="005E1DF4">
                <w:rPr>
                  <w:rStyle w:val="Hyperlink"/>
                  <w:rFonts w:ascii="Georgia" w:eastAsia="Georgia" w:hAnsi="Georgia" w:cs="Georgia"/>
                </w:rPr>
                <w:t>https://coloradolab.org/wp-content/uploads/2026/02/AR-Policy-Brief_Nov-2025_FINAL.pdf</w:t>
              </w:r>
            </w:hyperlink>
            <w:r w:rsidR="00382BC7">
              <w:rPr>
                <w:rFonts w:ascii="Georgia" w:eastAsia="Georgia" w:hAnsi="Georgia" w:cs="Georgia"/>
              </w:rPr>
              <w:t xml:space="preserve"> </w:t>
            </w:r>
          </w:p>
          <w:p w14:paraId="58A87FC4" w14:textId="77777777" w:rsidR="009A392B" w:rsidRDefault="009A392B">
            <w:pPr>
              <w:jc w:val="center"/>
              <w:rPr>
                <w:rFonts w:ascii="Georgia" w:eastAsia="Georgia" w:hAnsi="Georgia" w:cs="Georgia"/>
              </w:rPr>
            </w:pPr>
          </w:p>
        </w:tc>
      </w:tr>
      <w:tr w:rsidR="009A392B" w14:paraId="35010FDA" w14:textId="77777777">
        <w:trPr>
          <w:trHeight w:val="268"/>
        </w:trPr>
        <w:tc>
          <w:tcPr>
            <w:tcW w:w="11520" w:type="dxa"/>
            <w:tcBorders>
              <w:top w:val="single" w:sz="4" w:space="0" w:color="000000"/>
            </w:tcBorders>
          </w:tcPr>
          <w:p w14:paraId="04791AAD" w14:textId="77777777" w:rsidR="009A392B" w:rsidRDefault="00000000">
            <w:pPr>
              <w:pBdr>
                <w:top w:val="nil"/>
                <w:left w:val="nil"/>
                <w:bottom w:val="nil"/>
                <w:right w:val="nil"/>
                <w:between w:val="nil"/>
              </w:pBdr>
              <w:spacing w:before="41" w:line="207" w:lineRule="auto"/>
              <w:ind w:left="2" w:right="1"/>
              <w:jc w:val="center"/>
              <w:rPr>
                <w:rFonts w:ascii="Georgia" w:eastAsia="Georgia" w:hAnsi="Georgia" w:cs="Georgia"/>
                <w:b/>
                <w:bCs/>
                <w:color w:val="000000"/>
                <w:sz w:val="20"/>
                <w:szCs w:val="20"/>
              </w:rPr>
            </w:pPr>
            <w:r>
              <w:rPr>
                <w:rFonts w:ascii="Georgia" w:eastAsia="Georgia" w:hAnsi="Georgia" w:cs="Georgia"/>
                <w:b/>
                <w:bCs/>
                <w:color w:val="000000"/>
                <w:sz w:val="20"/>
                <w:szCs w:val="20"/>
              </w:rPr>
              <w:t>Summary of Research (</w:t>
            </w:r>
            <w:proofErr w:type="gramStart"/>
            <w:r>
              <w:rPr>
                <w:rFonts w:ascii="Georgia" w:eastAsia="Georgia" w:hAnsi="Georgia" w:cs="Georgia"/>
                <w:b/>
                <w:bCs/>
                <w:color w:val="000000"/>
                <w:sz w:val="20"/>
                <w:szCs w:val="20"/>
              </w:rPr>
              <w:t>500 word</w:t>
            </w:r>
            <w:proofErr w:type="gramEnd"/>
            <w:r>
              <w:rPr>
                <w:rFonts w:ascii="Georgia" w:eastAsia="Georgia" w:hAnsi="Georgia" w:cs="Georgia"/>
                <w:b/>
                <w:bCs/>
                <w:color w:val="000000"/>
                <w:sz w:val="20"/>
                <w:szCs w:val="20"/>
              </w:rPr>
              <w:t xml:space="preserve"> max)</w:t>
            </w:r>
          </w:p>
        </w:tc>
      </w:tr>
    </w:tbl>
    <w:p w14:paraId="04C9F019" w14:textId="77777777" w:rsidR="009A392B" w:rsidRDefault="009A392B">
      <w:pPr>
        <w:spacing w:line="207" w:lineRule="auto"/>
        <w:rPr>
          <w:rFonts w:ascii="Georgia" w:eastAsia="Georgia" w:hAnsi="Georgia" w:cs="Georgia"/>
          <w:sz w:val="20"/>
          <w:szCs w:val="20"/>
        </w:rPr>
      </w:pPr>
    </w:p>
    <w:p w14:paraId="520C90A6" w14:textId="77777777" w:rsidR="009A392B" w:rsidRDefault="00000000">
      <w:pPr>
        <w:tabs>
          <w:tab w:val="left" w:pos="6520"/>
        </w:tabs>
        <w:rPr>
          <w:rFonts w:ascii="Georgia" w:eastAsia="Georgia" w:hAnsi="Georgia" w:cs="Georgia"/>
          <w:sz w:val="20"/>
          <w:szCs w:val="20"/>
        </w:rPr>
      </w:pPr>
      <w:hyperlink r:id="rId9">
        <w:r>
          <w:rPr>
            <w:rFonts w:ascii="Georgia" w:eastAsia="Georgia" w:hAnsi="Georgia" w:cs="Georgia"/>
            <w:color w:val="0000FF"/>
            <w:sz w:val="20"/>
            <w:szCs w:val="20"/>
            <w:u w:val="single"/>
          </w:rPr>
          <w:t>Senate Bill (SB) 21-118</w:t>
        </w:r>
      </w:hyperlink>
      <w:r>
        <w:rPr>
          <w:rFonts w:ascii="Georgia" w:eastAsia="Georgia" w:hAnsi="Georgia" w:cs="Georgia"/>
          <w:sz w:val="20"/>
          <w:szCs w:val="20"/>
          <w:u w:val="single"/>
        </w:rPr>
        <w:t xml:space="preserve"> </w:t>
      </w:r>
      <w:r>
        <w:rPr>
          <w:rFonts w:ascii="Georgia" w:eastAsia="Georgia" w:hAnsi="Georgia" w:cs="Georgia"/>
          <w:sz w:val="20"/>
          <w:szCs w:val="20"/>
        </w:rPr>
        <w:t xml:space="preserve">(Alternative Response Mistreatment At-risk Adults) passed in the </w:t>
      </w:r>
      <w:proofErr w:type="gramStart"/>
      <w:r>
        <w:rPr>
          <w:rFonts w:ascii="Georgia" w:eastAsia="Georgia" w:hAnsi="Georgia" w:cs="Georgia"/>
          <w:sz w:val="20"/>
          <w:szCs w:val="20"/>
        </w:rPr>
        <w:t>2021  legislative</w:t>
      </w:r>
      <w:proofErr w:type="gramEnd"/>
      <w:r>
        <w:rPr>
          <w:rFonts w:ascii="Georgia" w:eastAsia="Georgia" w:hAnsi="Georgia" w:cs="Georgia"/>
          <w:sz w:val="20"/>
          <w:szCs w:val="20"/>
        </w:rPr>
        <w:t xml:space="preserve"> session, authorizing a pilot of the Alternative Response (AR) practice for responding to reports of low-risk mistreatment or self-neglect of an at-risk adult. Current law allows for only </w:t>
      </w:r>
      <w:proofErr w:type="gramStart"/>
      <w:r>
        <w:rPr>
          <w:rFonts w:ascii="Georgia" w:eastAsia="Georgia" w:hAnsi="Georgia" w:cs="Georgia"/>
          <w:sz w:val="20"/>
          <w:szCs w:val="20"/>
        </w:rPr>
        <w:t>one  type</w:t>
      </w:r>
      <w:proofErr w:type="gramEnd"/>
      <w:r>
        <w:rPr>
          <w:rFonts w:ascii="Georgia" w:eastAsia="Georgia" w:hAnsi="Georgia" w:cs="Georgia"/>
          <w:sz w:val="20"/>
          <w:szCs w:val="20"/>
        </w:rPr>
        <w:t xml:space="preserve"> of response for a county department of human services, regardless of the risk level reported.  </w:t>
      </w:r>
    </w:p>
    <w:p w14:paraId="47161888" w14:textId="77777777" w:rsidR="009A392B" w:rsidRDefault="00000000">
      <w:pPr>
        <w:tabs>
          <w:tab w:val="left" w:pos="6520"/>
        </w:tabs>
        <w:rPr>
          <w:rFonts w:ascii="Georgia" w:eastAsia="Georgia" w:hAnsi="Georgia" w:cs="Georgia"/>
          <w:sz w:val="20"/>
          <w:szCs w:val="20"/>
        </w:rPr>
      </w:pPr>
      <w:r>
        <w:rPr>
          <w:rFonts w:ascii="Georgia" w:eastAsia="Georgia" w:hAnsi="Georgia" w:cs="Georgia"/>
          <w:sz w:val="20"/>
          <w:szCs w:val="20"/>
        </w:rPr>
        <w:t xml:space="preserve">The AR Pilot enables a dual-track model to better tailor the response approach to the </w:t>
      </w:r>
      <w:proofErr w:type="gramStart"/>
      <w:r>
        <w:rPr>
          <w:rFonts w:ascii="Georgia" w:eastAsia="Georgia" w:hAnsi="Georgia" w:cs="Georgia"/>
          <w:sz w:val="20"/>
          <w:szCs w:val="20"/>
        </w:rPr>
        <w:t>unique  circumstances</w:t>
      </w:r>
      <w:proofErr w:type="gramEnd"/>
      <w:r>
        <w:rPr>
          <w:rFonts w:ascii="Georgia" w:eastAsia="Georgia" w:hAnsi="Georgia" w:cs="Georgia"/>
          <w:sz w:val="20"/>
          <w:szCs w:val="20"/>
        </w:rPr>
        <w:t xml:space="preserve"> of the case and allegations. Track One is called Traditional Response (TR) and is reserved for higher-risk allegations of mistreatment; Track Two is called Alternative Response and is applied to all self-neglect allegations and lower-risk allegations of mistreatment. The AR practice opens the door for more collaborative engagement by establishing a strong partnership from case start to case end.</w:t>
      </w:r>
    </w:p>
    <w:p w14:paraId="35B7E649" w14:textId="77777777" w:rsidR="009A392B" w:rsidRDefault="009A392B">
      <w:pPr>
        <w:tabs>
          <w:tab w:val="left" w:pos="6520"/>
        </w:tabs>
        <w:rPr>
          <w:rFonts w:ascii="Georgia" w:eastAsia="Georgia" w:hAnsi="Georgia" w:cs="Georgia"/>
          <w:sz w:val="20"/>
          <w:szCs w:val="20"/>
        </w:rPr>
      </w:pPr>
    </w:p>
    <w:p w14:paraId="6B0A3FEE" w14:textId="77777777" w:rsidR="009A392B" w:rsidRDefault="00000000">
      <w:pPr>
        <w:tabs>
          <w:tab w:val="left" w:pos="6520"/>
        </w:tabs>
        <w:rPr>
          <w:rFonts w:ascii="Georgia" w:eastAsia="Georgia" w:hAnsi="Georgia" w:cs="Georgia"/>
          <w:sz w:val="20"/>
          <w:szCs w:val="20"/>
        </w:rPr>
      </w:pPr>
      <w:r>
        <w:rPr>
          <w:rFonts w:ascii="Georgia" w:eastAsia="Georgia" w:hAnsi="Georgia" w:cs="Georgia"/>
          <w:sz w:val="20"/>
          <w:szCs w:val="20"/>
        </w:rPr>
        <w:t>As an innovative practice in Colorado and nationally, SB21-118 requires a two-year outcomes evaluation to assess effectiveness of the AR Pilot and inform the future of the dual-track model.  The Colorado Department of Human Services (CDHS), Adult Protective Services (APS), partnered with the Colorado Evaluation and Action Lab (Colorado Lab) to fulfill this legislative opportunity. The evidence-building approach prioritizes data-informed learning alongside rigorous evaluation methods.</w:t>
      </w:r>
    </w:p>
    <w:p w14:paraId="03437D42" w14:textId="77777777" w:rsidR="009A392B" w:rsidRDefault="009A392B">
      <w:pPr>
        <w:tabs>
          <w:tab w:val="left" w:pos="6520"/>
        </w:tabs>
        <w:rPr>
          <w:rFonts w:ascii="Georgia" w:eastAsia="Georgia" w:hAnsi="Georgia" w:cs="Georgia"/>
          <w:sz w:val="20"/>
          <w:szCs w:val="20"/>
        </w:rPr>
      </w:pPr>
    </w:p>
    <w:p w14:paraId="4F2900C0" w14:textId="77777777" w:rsidR="009A392B" w:rsidRDefault="00000000">
      <w:pPr>
        <w:tabs>
          <w:tab w:val="left" w:pos="6520"/>
        </w:tabs>
        <w:rPr>
          <w:rFonts w:ascii="Georgia" w:eastAsia="Georgia" w:hAnsi="Georgia" w:cs="Georgia"/>
          <w:sz w:val="20"/>
          <w:szCs w:val="20"/>
        </w:rPr>
      </w:pPr>
      <w:r>
        <w:rPr>
          <w:rFonts w:ascii="Georgia" w:eastAsia="Georgia" w:hAnsi="Georgia" w:cs="Georgia"/>
          <w:sz w:val="20"/>
          <w:szCs w:val="20"/>
        </w:rPr>
        <w:t xml:space="preserve">The study period is January 4, </w:t>
      </w:r>
      <w:proofErr w:type="gramStart"/>
      <w:r>
        <w:rPr>
          <w:rFonts w:ascii="Georgia" w:eastAsia="Georgia" w:hAnsi="Georgia" w:cs="Georgia"/>
          <w:sz w:val="20"/>
          <w:szCs w:val="20"/>
        </w:rPr>
        <w:t>2023</w:t>
      </w:r>
      <w:proofErr w:type="gramEnd"/>
      <w:r>
        <w:rPr>
          <w:rFonts w:ascii="Georgia" w:eastAsia="Georgia" w:hAnsi="Georgia" w:cs="Georgia"/>
          <w:sz w:val="20"/>
          <w:szCs w:val="20"/>
        </w:rPr>
        <w:t xml:space="preserve"> through December 31, 2024, with follow-up data through June 30, 2025. Evaluation activities:</w:t>
      </w:r>
    </w:p>
    <w:p w14:paraId="730EB34B" w14:textId="77777777" w:rsidR="009A392B" w:rsidRDefault="009A392B">
      <w:pPr>
        <w:tabs>
          <w:tab w:val="left" w:pos="6520"/>
        </w:tabs>
        <w:rPr>
          <w:rFonts w:ascii="Georgia" w:eastAsia="Georgia" w:hAnsi="Georgia" w:cs="Georgia"/>
          <w:sz w:val="20"/>
          <w:szCs w:val="20"/>
        </w:rPr>
      </w:pPr>
    </w:p>
    <w:p w14:paraId="16014A85" w14:textId="77777777" w:rsidR="009A392B" w:rsidRDefault="00000000">
      <w:pPr>
        <w:numPr>
          <w:ilvl w:val="0"/>
          <w:numId w:val="1"/>
        </w:numPr>
        <w:pBdr>
          <w:top w:val="nil"/>
          <w:left w:val="nil"/>
          <w:bottom w:val="nil"/>
          <w:right w:val="nil"/>
          <w:between w:val="nil"/>
        </w:pBdr>
        <w:tabs>
          <w:tab w:val="left" w:pos="6520"/>
        </w:tabs>
        <w:rPr>
          <w:rFonts w:ascii="Georgia" w:eastAsia="Georgia" w:hAnsi="Georgia" w:cs="Georgia"/>
          <w:color w:val="000000"/>
          <w:sz w:val="20"/>
          <w:szCs w:val="20"/>
        </w:rPr>
      </w:pPr>
      <w:r>
        <w:rPr>
          <w:rFonts w:ascii="Georgia" w:eastAsia="Georgia" w:hAnsi="Georgia" w:cs="Georgia"/>
          <w:color w:val="000000"/>
          <w:sz w:val="20"/>
          <w:szCs w:val="20"/>
        </w:rPr>
        <w:t xml:space="preserve">Fidelity was measured to ensure pilot counties were delivering the </w:t>
      </w:r>
      <w:proofErr w:type="gramStart"/>
      <w:r>
        <w:rPr>
          <w:rFonts w:ascii="Georgia" w:eastAsia="Georgia" w:hAnsi="Georgia" w:cs="Georgia"/>
          <w:color w:val="000000"/>
          <w:sz w:val="20"/>
          <w:szCs w:val="20"/>
        </w:rPr>
        <w:t>practice as</w:t>
      </w:r>
      <w:proofErr w:type="gramEnd"/>
      <w:r>
        <w:rPr>
          <w:rFonts w:ascii="Georgia" w:eastAsia="Georgia" w:hAnsi="Georgia" w:cs="Georgia"/>
          <w:color w:val="000000"/>
          <w:sz w:val="20"/>
          <w:szCs w:val="20"/>
        </w:rPr>
        <w:t xml:space="preserve"> intended to drive outcomes.</w:t>
      </w:r>
    </w:p>
    <w:p w14:paraId="4A9496F9" w14:textId="77777777" w:rsidR="009A392B" w:rsidRDefault="00000000">
      <w:pPr>
        <w:numPr>
          <w:ilvl w:val="0"/>
          <w:numId w:val="1"/>
        </w:numPr>
        <w:pBdr>
          <w:top w:val="nil"/>
          <w:left w:val="nil"/>
          <w:bottom w:val="nil"/>
          <w:right w:val="nil"/>
          <w:between w:val="nil"/>
        </w:pBdr>
        <w:tabs>
          <w:tab w:val="left" w:pos="6520"/>
        </w:tabs>
        <w:rPr>
          <w:rFonts w:ascii="Georgia" w:eastAsia="Georgia" w:hAnsi="Georgia" w:cs="Georgia"/>
          <w:color w:val="000000"/>
          <w:sz w:val="20"/>
          <w:szCs w:val="20"/>
        </w:rPr>
      </w:pPr>
      <w:r>
        <w:rPr>
          <w:rFonts w:ascii="Georgia" w:eastAsia="Georgia" w:hAnsi="Georgia" w:cs="Georgia"/>
          <w:color w:val="000000"/>
          <w:sz w:val="20"/>
          <w:szCs w:val="20"/>
        </w:rPr>
        <w:t>Descriptive analysis illustrates pilot reach and implementation.</w:t>
      </w:r>
    </w:p>
    <w:p w14:paraId="4170B350" w14:textId="77777777" w:rsidR="009A392B" w:rsidRDefault="00000000">
      <w:pPr>
        <w:numPr>
          <w:ilvl w:val="0"/>
          <w:numId w:val="1"/>
        </w:numPr>
        <w:pBdr>
          <w:top w:val="nil"/>
          <w:left w:val="nil"/>
          <w:bottom w:val="nil"/>
          <w:right w:val="nil"/>
          <w:between w:val="nil"/>
        </w:pBdr>
        <w:tabs>
          <w:tab w:val="left" w:pos="6520"/>
        </w:tabs>
        <w:rPr>
          <w:rFonts w:ascii="Georgia" w:eastAsia="Georgia" w:hAnsi="Georgia" w:cs="Georgia"/>
          <w:color w:val="000000"/>
          <w:sz w:val="20"/>
          <w:szCs w:val="20"/>
        </w:rPr>
      </w:pPr>
      <w:r>
        <w:rPr>
          <w:rFonts w:ascii="Georgia" w:eastAsia="Georgia" w:hAnsi="Georgia" w:cs="Georgia"/>
          <w:color w:val="000000"/>
          <w:sz w:val="20"/>
          <w:szCs w:val="20"/>
        </w:rPr>
        <w:t>A quasi-experimental design (QED) was used to generate initial causal evidence of effectiveness.</w:t>
      </w:r>
    </w:p>
    <w:p w14:paraId="1B9BCA46" w14:textId="77777777" w:rsidR="009A392B" w:rsidRDefault="00000000">
      <w:pPr>
        <w:numPr>
          <w:ilvl w:val="0"/>
          <w:numId w:val="1"/>
        </w:numPr>
        <w:pBdr>
          <w:top w:val="nil"/>
          <w:left w:val="nil"/>
          <w:bottom w:val="nil"/>
          <w:right w:val="nil"/>
          <w:between w:val="nil"/>
        </w:pBdr>
        <w:tabs>
          <w:tab w:val="left" w:pos="6520"/>
        </w:tabs>
        <w:rPr>
          <w:rFonts w:ascii="Georgia" w:eastAsia="Georgia" w:hAnsi="Georgia" w:cs="Georgia"/>
          <w:color w:val="000000"/>
          <w:sz w:val="20"/>
          <w:szCs w:val="20"/>
        </w:rPr>
      </w:pPr>
      <w:r>
        <w:rPr>
          <w:rFonts w:ascii="Georgia" w:eastAsia="Georgia" w:hAnsi="Georgia" w:cs="Georgia"/>
          <w:color w:val="000000"/>
          <w:sz w:val="20"/>
          <w:szCs w:val="20"/>
        </w:rPr>
        <w:t>Qualitative data provide further context and ensure the experiences of APS staff are also elevated.</w:t>
      </w:r>
    </w:p>
    <w:p w14:paraId="42AB9A79" w14:textId="77777777" w:rsidR="009A392B" w:rsidRDefault="009A392B">
      <w:pPr>
        <w:pBdr>
          <w:top w:val="nil"/>
          <w:left w:val="nil"/>
          <w:bottom w:val="nil"/>
          <w:right w:val="nil"/>
          <w:between w:val="nil"/>
        </w:pBdr>
        <w:tabs>
          <w:tab w:val="left" w:pos="6520"/>
        </w:tabs>
        <w:ind w:left="720"/>
        <w:rPr>
          <w:rFonts w:ascii="Georgia" w:eastAsia="Georgia" w:hAnsi="Georgia" w:cs="Georgia"/>
          <w:sz w:val="20"/>
          <w:szCs w:val="20"/>
        </w:rPr>
      </w:pPr>
    </w:p>
    <w:p w14:paraId="4C51F2E4" w14:textId="77777777" w:rsidR="009A392B" w:rsidRDefault="00000000">
      <w:pPr>
        <w:tabs>
          <w:tab w:val="left" w:pos="6520"/>
        </w:tabs>
        <w:rPr>
          <w:rFonts w:ascii="Georgia" w:eastAsia="Georgia" w:hAnsi="Georgia" w:cs="Georgia"/>
          <w:sz w:val="20"/>
          <w:szCs w:val="20"/>
        </w:rPr>
        <w:sectPr w:rsidR="009A392B">
          <w:headerReference w:type="default" r:id="rId10"/>
          <w:footerReference w:type="default" r:id="rId11"/>
          <w:pgSz w:w="12240" w:h="15840"/>
          <w:pgMar w:top="2120" w:right="260" w:bottom="1280" w:left="260" w:header="315" w:footer="1087" w:gutter="0"/>
          <w:pgNumType w:start="1"/>
          <w:cols w:space="720"/>
        </w:sectPr>
      </w:pPr>
      <w:r>
        <w:rPr>
          <w:rFonts w:ascii="Georgia" w:eastAsia="Georgia" w:hAnsi="Georgia" w:cs="Georgia"/>
          <w:sz w:val="20"/>
          <w:szCs w:val="20"/>
        </w:rPr>
        <w:t xml:space="preserve">Results show the AR practice can improve collaborative engagement between APS staff and clients, which can help stabilize the client and improve well-being. Compared to equivalent cases in the pre-pilot period, repeat involvement in APS was significantly decreased by 2.5%. Case length was also significantly reduced by 5.63 days. Descriptive data </w:t>
      </w:r>
      <w:proofErr w:type="gramStart"/>
      <w:r>
        <w:rPr>
          <w:rFonts w:ascii="Georgia" w:eastAsia="Georgia" w:hAnsi="Georgia" w:cs="Georgia"/>
          <w:sz w:val="20"/>
          <w:szCs w:val="20"/>
        </w:rPr>
        <w:t>show</w:t>
      </w:r>
      <w:proofErr w:type="gramEnd"/>
      <w:r>
        <w:rPr>
          <w:rFonts w:ascii="Georgia" w:eastAsia="Georgia" w:hAnsi="Georgia" w:cs="Georgia"/>
          <w:sz w:val="20"/>
          <w:szCs w:val="20"/>
        </w:rPr>
        <w:t xml:space="preserve"> the AR Pilot has strong reach in pilot counties, is especially needed for clients experiencing self-neglect, and is helping to support individuals with higher levels of social isolation and vulnerable conditions. Results also show the critical importance of building support networks to improve long-term well-being and maximize effectiveness of the AR practice. Taken together, findings indicate the AR practice is a person-centered approach that can inform best practices for supporting at-risk adults, including a growing aging population. </w:t>
      </w:r>
    </w:p>
    <w:p w14:paraId="7EDFF3FC" w14:textId="77777777" w:rsidR="009A392B" w:rsidRDefault="009A392B">
      <w:pPr>
        <w:pBdr>
          <w:top w:val="nil"/>
          <w:left w:val="nil"/>
          <w:bottom w:val="nil"/>
          <w:right w:val="nil"/>
          <w:between w:val="nil"/>
        </w:pBdr>
        <w:spacing w:before="1"/>
        <w:rPr>
          <w:rFonts w:ascii="Georgia" w:eastAsia="Georgia" w:hAnsi="Georgia" w:cs="Georgia"/>
          <w:color w:val="000000"/>
          <w:sz w:val="3"/>
          <w:szCs w:val="3"/>
        </w:rPr>
      </w:pPr>
    </w:p>
    <w:tbl>
      <w:tblPr>
        <w:tblStyle w:val="a0"/>
        <w:tblW w:w="11520" w:type="dxa"/>
        <w:tblInd w:w="107" w:type="dxa"/>
        <w:tblLayout w:type="fixed"/>
        <w:tblLook w:val="0000" w:firstRow="0" w:lastRow="0" w:firstColumn="0" w:lastColumn="0" w:noHBand="0" w:noVBand="0"/>
      </w:tblPr>
      <w:tblGrid>
        <w:gridCol w:w="11520"/>
      </w:tblGrid>
      <w:tr w:rsidR="009A392B" w14:paraId="35D59666" w14:textId="77777777">
        <w:trPr>
          <w:trHeight w:val="7879"/>
        </w:trPr>
        <w:tc>
          <w:tcPr>
            <w:tcW w:w="11520" w:type="dxa"/>
            <w:tcBorders>
              <w:bottom w:val="single" w:sz="4" w:space="0" w:color="000000"/>
            </w:tcBorders>
          </w:tcPr>
          <w:p w14:paraId="709FFE9C" w14:textId="77777777" w:rsidR="009A392B" w:rsidRDefault="009A392B">
            <w:pPr>
              <w:pBdr>
                <w:top w:val="nil"/>
                <w:left w:val="nil"/>
                <w:bottom w:val="nil"/>
                <w:right w:val="nil"/>
                <w:between w:val="nil"/>
              </w:pBdr>
              <w:ind w:left="2"/>
              <w:jc w:val="center"/>
              <w:rPr>
                <w:rFonts w:ascii="Georgia" w:eastAsia="Georgia" w:hAnsi="Georgia" w:cs="Georgia"/>
                <w:b/>
                <w:bCs/>
                <w:sz w:val="20"/>
                <w:szCs w:val="20"/>
              </w:rPr>
            </w:pPr>
          </w:p>
          <w:p w14:paraId="44F78E73" w14:textId="77777777" w:rsidR="009A392B" w:rsidRDefault="00000000">
            <w:pPr>
              <w:pBdr>
                <w:top w:val="nil"/>
                <w:left w:val="nil"/>
                <w:bottom w:val="nil"/>
                <w:right w:val="nil"/>
                <w:between w:val="nil"/>
              </w:pBdr>
              <w:ind w:left="2"/>
              <w:jc w:val="center"/>
              <w:rPr>
                <w:rFonts w:ascii="Georgia" w:eastAsia="Georgia" w:hAnsi="Georgia" w:cs="Georgia"/>
                <w:b/>
                <w:bCs/>
                <w:color w:val="000000"/>
                <w:sz w:val="20"/>
                <w:szCs w:val="20"/>
              </w:rPr>
            </w:pPr>
            <w:r>
              <w:rPr>
                <w:rFonts w:ascii="Georgia" w:eastAsia="Georgia" w:hAnsi="Georgia" w:cs="Georgia"/>
                <w:b/>
                <w:bCs/>
                <w:color w:val="000000"/>
                <w:sz w:val="20"/>
                <w:szCs w:val="20"/>
              </w:rPr>
              <w:t xml:space="preserve"> Practice &amp; Policy Implications (e.g.</w:t>
            </w:r>
            <w:proofErr w:type="gramStart"/>
            <w:r>
              <w:rPr>
                <w:rFonts w:ascii="Georgia" w:eastAsia="Georgia" w:hAnsi="Georgia" w:cs="Georgia"/>
                <w:b/>
                <w:bCs/>
                <w:color w:val="000000"/>
                <w:sz w:val="20"/>
                <w:szCs w:val="20"/>
              </w:rPr>
              <w:t>:  How</w:t>
            </w:r>
            <w:proofErr w:type="gramEnd"/>
            <w:r>
              <w:rPr>
                <w:rFonts w:ascii="Georgia" w:eastAsia="Georgia" w:hAnsi="Georgia" w:cs="Georgia"/>
                <w:b/>
                <w:bCs/>
                <w:color w:val="000000"/>
                <w:sz w:val="20"/>
                <w:szCs w:val="20"/>
              </w:rPr>
              <w:t xml:space="preserve"> can this research inform the Adult Protective Services field?  What additional data is needed? What may be possible next steps?) (</w:t>
            </w:r>
            <w:proofErr w:type="gramStart"/>
            <w:r>
              <w:rPr>
                <w:rFonts w:ascii="Georgia" w:eastAsia="Georgia" w:hAnsi="Georgia" w:cs="Georgia"/>
                <w:b/>
                <w:bCs/>
                <w:color w:val="000000"/>
                <w:sz w:val="20"/>
                <w:szCs w:val="20"/>
              </w:rPr>
              <w:t>500 word</w:t>
            </w:r>
            <w:proofErr w:type="gramEnd"/>
            <w:r>
              <w:rPr>
                <w:rFonts w:ascii="Georgia" w:eastAsia="Georgia" w:hAnsi="Georgia" w:cs="Georgia"/>
                <w:b/>
                <w:bCs/>
                <w:color w:val="000000"/>
                <w:sz w:val="20"/>
                <w:szCs w:val="20"/>
              </w:rPr>
              <w:t xml:space="preserve"> max)</w:t>
            </w:r>
          </w:p>
          <w:p w14:paraId="68209B48" w14:textId="77777777" w:rsidR="009A392B" w:rsidRDefault="009A392B">
            <w:pPr>
              <w:pBdr>
                <w:top w:val="nil"/>
                <w:left w:val="nil"/>
                <w:bottom w:val="nil"/>
                <w:right w:val="nil"/>
                <w:between w:val="nil"/>
              </w:pBdr>
              <w:ind w:left="2"/>
              <w:rPr>
                <w:rFonts w:ascii="Georgia" w:eastAsia="Georgia" w:hAnsi="Georgia" w:cs="Georgia"/>
                <w:b/>
                <w:bCs/>
                <w:color w:val="000000"/>
                <w:sz w:val="20"/>
                <w:szCs w:val="20"/>
              </w:rPr>
            </w:pPr>
          </w:p>
          <w:p w14:paraId="45F1FA43" w14:textId="77777777" w:rsidR="009A392B" w:rsidRDefault="00000000">
            <w:pPr>
              <w:pBdr>
                <w:top w:val="nil"/>
                <w:left w:val="nil"/>
                <w:bottom w:val="nil"/>
                <w:right w:val="nil"/>
                <w:between w:val="nil"/>
              </w:pBdr>
              <w:spacing w:before="41"/>
              <w:ind w:left="2" w:right="2"/>
              <w:rPr>
                <w:rFonts w:ascii="Georgia" w:eastAsia="Georgia" w:hAnsi="Georgia" w:cs="Georgia"/>
                <w:color w:val="000000"/>
                <w:sz w:val="20"/>
                <w:szCs w:val="20"/>
              </w:rPr>
            </w:pPr>
            <w:r>
              <w:rPr>
                <w:rFonts w:ascii="Georgia" w:eastAsia="Georgia" w:hAnsi="Georgia" w:cs="Georgia"/>
                <w:color w:val="000000"/>
                <w:sz w:val="20"/>
                <w:szCs w:val="20"/>
              </w:rPr>
              <w:t>Together, qualitative and quantitative data indicate the AR practice is a viable and favorable approach for responding to reports of low-risk mistreatment and self-neglect. Based on favorable findings</w:t>
            </w:r>
            <w:r>
              <w:rPr>
                <w:rFonts w:ascii="Georgia" w:eastAsia="Georgia" w:hAnsi="Georgia" w:cs="Georgia"/>
                <w:sz w:val="20"/>
                <w:szCs w:val="20"/>
              </w:rPr>
              <w:t>–alongside support from implementing county partners–t</w:t>
            </w:r>
            <w:r>
              <w:rPr>
                <w:rFonts w:ascii="Georgia" w:eastAsia="Georgia" w:hAnsi="Georgia" w:cs="Georgia"/>
                <w:color w:val="000000"/>
                <w:sz w:val="20"/>
                <w:szCs w:val="20"/>
              </w:rPr>
              <w:t xml:space="preserve">he AR practice and dual-track model </w:t>
            </w:r>
            <w:r>
              <w:rPr>
                <w:rFonts w:ascii="Georgia" w:eastAsia="Georgia" w:hAnsi="Georgia" w:cs="Georgia"/>
                <w:sz w:val="20"/>
                <w:szCs w:val="20"/>
              </w:rPr>
              <w:t>s</w:t>
            </w:r>
            <w:r>
              <w:rPr>
                <w:rFonts w:ascii="Georgia" w:eastAsia="Georgia" w:hAnsi="Georgia" w:cs="Georgia"/>
                <w:color w:val="000000"/>
                <w:sz w:val="20"/>
                <w:szCs w:val="20"/>
              </w:rPr>
              <w:t xml:space="preserve">hould be </w:t>
            </w:r>
            <w:r>
              <w:rPr>
                <w:rFonts w:ascii="Georgia" w:eastAsia="Georgia" w:hAnsi="Georgia" w:cs="Georgia"/>
                <w:sz w:val="20"/>
                <w:szCs w:val="20"/>
              </w:rPr>
              <w:t>recommended for</w:t>
            </w:r>
            <w:r>
              <w:rPr>
                <w:rFonts w:ascii="Georgia" w:eastAsia="Georgia" w:hAnsi="Georgia" w:cs="Georgia"/>
                <w:color w:val="000000"/>
                <w:sz w:val="20"/>
                <w:szCs w:val="20"/>
              </w:rPr>
              <w:t xml:space="preserve"> statewide scaling. Recommendations for statewide expansion include: a) prioritize rule changes that are responsive to data-informed learnings, such as revisiting the timeline for initial response; b) enable a phased rollout statewide over a period of time to ensure county readiness and to provide the state preparation time; c) provide adequate resourcing at state and county levels to ensure fidelity of implementation; d) advance partnerships within CDHS and across systems in caring for the aging population; and e) apply Colorado’s Evidence-Based Decision Making approach in state government to activate results of the 2-year rigorous evaluation—in commitment to achieving positive outcomes and smart state investments among the APS program and clients served.</w:t>
            </w:r>
          </w:p>
          <w:p w14:paraId="6F1AC5C3" w14:textId="77777777" w:rsidR="009A392B" w:rsidRDefault="00000000">
            <w:pPr>
              <w:pBdr>
                <w:top w:val="nil"/>
                <w:left w:val="nil"/>
                <w:bottom w:val="nil"/>
                <w:right w:val="nil"/>
                <w:between w:val="nil"/>
              </w:pBdr>
              <w:ind w:left="2"/>
              <w:rPr>
                <w:rFonts w:ascii="Georgia" w:eastAsia="Georgia" w:hAnsi="Georgia" w:cs="Georgia"/>
                <w:color w:val="000000"/>
                <w:sz w:val="20"/>
                <w:szCs w:val="20"/>
              </w:rPr>
            </w:pPr>
            <w:r>
              <w:rPr>
                <w:rFonts w:ascii="Georgia" w:eastAsia="Georgia" w:hAnsi="Georgia" w:cs="Georgia"/>
                <w:color w:val="000000"/>
                <w:sz w:val="20"/>
                <w:szCs w:val="20"/>
              </w:rPr>
              <w:tab/>
            </w:r>
          </w:p>
          <w:p w14:paraId="7121B97B" w14:textId="77777777" w:rsidR="009A392B" w:rsidRDefault="00000000">
            <w:pPr>
              <w:pBdr>
                <w:top w:val="nil"/>
                <w:left w:val="nil"/>
                <w:bottom w:val="nil"/>
                <w:right w:val="nil"/>
                <w:between w:val="nil"/>
              </w:pBdr>
              <w:ind w:left="2"/>
              <w:rPr>
                <w:rFonts w:ascii="Georgia" w:eastAsia="Georgia" w:hAnsi="Georgia" w:cs="Georgia"/>
                <w:color w:val="000000"/>
                <w:sz w:val="20"/>
                <w:szCs w:val="20"/>
              </w:rPr>
            </w:pPr>
            <w:r>
              <w:rPr>
                <w:rFonts w:ascii="Georgia" w:eastAsia="Georgia" w:hAnsi="Georgia" w:cs="Georgia"/>
                <w:color w:val="000000"/>
                <w:sz w:val="20"/>
                <w:szCs w:val="20"/>
              </w:rPr>
              <w:t>Finally, while evidence building for AR is focused firstly on APS response, evaluation results also have implications for the aging population across units at CDHS, including the State Unit on Aging. As Colorado and the nation grapple with how best to care for this rapidly growing community, it is imperative that prevention and intervention services are in place that reflect the unique conditions and challenges of this population. For example, in-depth data on self-neglect generated through this pilot can inform best practices for the aging population and clearly identifies that more resources are necessary across prevention levels.</w:t>
            </w:r>
          </w:p>
        </w:tc>
      </w:tr>
      <w:tr w:rsidR="009A392B" w14:paraId="4B4FDCAA" w14:textId="77777777">
        <w:trPr>
          <w:trHeight w:val="2055"/>
        </w:trPr>
        <w:tc>
          <w:tcPr>
            <w:tcW w:w="11520" w:type="dxa"/>
            <w:tcBorders>
              <w:top w:val="single" w:sz="4" w:space="0" w:color="000000"/>
              <w:bottom w:val="single" w:sz="4" w:space="0" w:color="000000"/>
            </w:tcBorders>
          </w:tcPr>
          <w:p w14:paraId="5DF7A47D" w14:textId="77777777" w:rsidR="009A392B" w:rsidRDefault="00000000">
            <w:pPr>
              <w:pBdr>
                <w:top w:val="nil"/>
                <w:left w:val="nil"/>
                <w:bottom w:val="nil"/>
                <w:right w:val="nil"/>
                <w:between w:val="nil"/>
              </w:pBdr>
              <w:spacing w:before="41"/>
              <w:ind w:left="2" w:right="2"/>
              <w:jc w:val="center"/>
              <w:rPr>
                <w:rFonts w:ascii="Georgia" w:eastAsia="Georgia" w:hAnsi="Georgia" w:cs="Georgia"/>
                <w:b/>
                <w:bCs/>
                <w:color w:val="000000"/>
                <w:sz w:val="20"/>
                <w:szCs w:val="20"/>
              </w:rPr>
            </w:pPr>
            <w:r>
              <w:rPr>
                <w:rFonts w:ascii="Georgia" w:eastAsia="Georgia" w:hAnsi="Georgia" w:cs="Georgia"/>
                <w:b/>
                <w:bCs/>
                <w:color w:val="000000"/>
                <w:sz w:val="20"/>
                <w:szCs w:val="20"/>
              </w:rPr>
              <w:t>Further Reading</w:t>
            </w:r>
          </w:p>
          <w:p w14:paraId="006E3CA9" w14:textId="77777777" w:rsidR="009A392B" w:rsidRDefault="009A392B">
            <w:pPr>
              <w:rPr>
                <w:rFonts w:ascii="Georgia" w:eastAsia="Georgia" w:hAnsi="Georgia" w:cs="Georgia"/>
              </w:rPr>
            </w:pPr>
          </w:p>
          <w:p w14:paraId="2019CC6E" w14:textId="77777777" w:rsidR="009A392B" w:rsidRDefault="00000000">
            <w:pPr>
              <w:rPr>
                <w:rFonts w:ascii="Georgia" w:eastAsia="Georgia" w:hAnsi="Georgia" w:cs="Georgia"/>
              </w:rPr>
            </w:pPr>
            <w:r>
              <w:rPr>
                <w:rFonts w:ascii="Georgia" w:eastAsia="Georgia" w:hAnsi="Georgia" w:cs="Georgia"/>
              </w:rPr>
              <w:t xml:space="preserve">Further information about Colorado’s Alternative Response pilot and outcomes are available from the </w:t>
            </w:r>
            <w:hyperlink r:id="rId12">
              <w:r>
                <w:rPr>
                  <w:rFonts w:ascii="Georgia" w:eastAsia="Georgia" w:hAnsi="Georgia" w:cs="Georgia"/>
                  <w:color w:val="0000FF"/>
                  <w:u w:val="single"/>
                </w:rPr>
                <w:t>Colorado Lab</w:t>
              </w:r>
            </w:hyperlink>
            <w:r>
              <w:rPr>
                <w:rFonts w:ascii="Georgia" w:eastAsia="Georgia" w:hAnsi="Georgia" w:cs="Georgia"/>
              </w:rPr>
              <w:t>.</w:t>
            </w:r>
          </w:p>
          <w:p w14:paraId="18C451CF" w14:textId="77777777" w:rsidR="009A392B" w:rsidRDefault="009A392B">
            <w:pPr>
              <w:rPr>
                <w:rFonts w:ascii="Georgia" w:eastAsia="Georgia" w:hAnsi="Georgia" w:cs="Georgia"/>
                <w:b/>
                <w:bCs/>
                <w:sz w:val="20"/>
                <w:szCs w:val="20"/>
              </w:rPr>
            </w:pPr>
          </w:p>
          <w:p w14:paraId="3E8339DE" w14:textId="77777777" w:rsidR="009A392B" w:rsidRDefault="009A392B">
            <w:pPr>
              <w:jc w:val="center"/>
              <w:rPr>
                <w:rFonts w:ascii="Georgia" w:eastAsia="Georgia" w:hAnsi="Georgia" w:cs="Georgia"/>
              </w:rPr>
            </w:pPr>
          </w:p>
        </w:tc>
      </w:tr>
      <w:tr w:rsidR="009A392B" w14:paraId="66981EB0" w14:textId="77777777">
        <w:trPr>
          <w:trHeight w:val="240"/>
        </w:trPr>
        <w:tc>
          <w:tcPr>
            <w:tcW w:w="11520" w:type="dxa"/>
            <w:tcBorders>
              <w:top w:val="single" w:sz="4" w:space="0" w:color="000000"/>
            </w:tcBorders>
          </w:tcPr>
          <w:p w14:paraId="51D15434" w14:textId="77777777" w:rsidR="009A392B" w:rsidRDefault="00000000">
            <w:pPr>
              <w:pBdr>
                <w:top w:val="nil"/>
                <w:left w:val="nil"/>
                <w:bottom w:val="nil"/>
                <w:right w:val="nil"/>
                <w:between w:val="nil"/>
              </w:pBdr>
              <w:spacing w:before="41" w:line="224" w:lineRule="auto"/>
              <w:ind w:left="2" w:right="2"/>
              <w:jc w:val="center"/>
              <w:rPr>
                <w:rFonts w:ascii="Georgia" w:eastAsia="Georgia" w:hAnsi="Georgia" w:cs="Georgia"/>
                <w:b/>
                <w:bCs/>
                <w:color w:val="000000"/>
                <w:sz w:val="20"/>
                <w:szCs w:val="20"/>
              </w:rPr>
            </w:pPr>
            <w:r>
              <w:rPr>
                <w:rFonts w:ascii="Georgia" w:eastAsia="Georgia" w:hAnsi="Georgia" w:cs="Georgia"/>
                <w:b/>
                <w:bCs/>
                <w:color w:val="000000"/>
                <w:sz w:val="20"/>
                <w:szCs w:val="20"/>
              </w:rPr>
              <w:t>Prepared By</w:t>
            </w:r>
          </w:p>
        </w:tc>
      </w:tr>
    </w:tbl>
    <w:p w14:paraId="74DE30EF" w14:textId="77777777" w:rsidR="009A392B" w:rsidRDefault="00000000">
      <w:pPr>
        <w:tabs>
          <w:tab w:val="left" w:pos="6320"/>
        </w:tabs>
        <w:rPr>
          <w:rFonts w:ascii="Georgia" w:eastAsia="Georgia" w:hAnsi="Georgia" w:cs="Georgia"/>
        </w:rPr>
      </w:pPr>
      <w:r>
        <w:rPr>
          <w:rFonts w:ascii="Georgia" w:eastAsia="Georgia" w:hAnsi="Georgia" w:cs="Georgia"/>
        </w:rPr>
        <w:t xml:space="preserve">   </w:t>
      </w:r>
      <w:r>
        <w:rPr>
          <w:rFonts w:ascii="Georgia" w:eastAsia="Georgia" w:hAnsi="Georgia" w:cs="Georgia"/>
          <w:noProof/>
          <w:color w:val="222222"/>
        </w:rPr>
        <w:drawing>
          <wp:inline distT="0" distB="0" distL="0" distR="0" wp14:anchorId="0B08295A" wp14:editId="53272428">
            <wp:extent cx="1168400" cy="1266825"/>
            <wp:effectExtent l="0" t="0" r="0" b="0"/>
            <wp:docPr id="1780766437" name="image1.png" descr="A person smiling in front of a tre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person smiling in front of a tree&#10;&#10;AI-generated content may be incorrect."/>
                    <pic:cNvPicPr preferRelativeResize="0"/>
                  </pic:nvPicPr>
                  <pic:blipFill>
                    <a:blip r:embed="rId13"/>
                    <a:srcRect/>
                    <a:stretch>
                      <a:fillRect/>
                    </a:stretch>
                  </pic:blipFill>
                  <pic:spPr>
                    <a:xfrm>
                      <a:off x="0" y="0"/>
                      <a:ext cx="1168400" cy="1266825"/>
                    </a:xfrm>
                    <a:prstGeom prst="rect">
                      <a:avLst/>
                    </a:prstGeom>
                    <a:ln/>
                  </pic:spPr>
                </pic:pic>
              </a:graphicData>
            </a:graphic>
          </wp:inline>
        </w:drawing>
      </w:r>
      <w:r>
        <w:rPr>
          <w:rFonts w:ascii="Georgia" w:eastAsia="Georgia" w:hAnsi="Georgia" w:cs="Georgia"/>
        </w:rPr>
        <w:t xml:space="preserve"> Courtney L. Everson, PhD</w:t>
      </w:r>
    </w:p>
    <w:sectPr w:rsidR="009A392B">
      <w:pgSz w:w="12240" w:h="15840"/>
      <w:pgMar w:top="2120" w:right="260" w:bottom="1280" w:left="260" w:header="315" w:footer="10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CDF9C" w14:textId="77777777" w:rsidR="009D10C2" w:rsidRDefault="009D10C2">
      <w:r>
        <w:separator/>
      </w:r>
    </w:p>
  </w:endnote>
  <w:endnote w:type="continuationSeparator" w:id="0">
    <w:p w14:paraId="5C948036" w14:textId="77777777" w:rsidR="009D10C2" w:rsidRDefault="009D1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86A4BE0-832F-4F9E-B4EC-84F89CFCD26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E9B10D2-AFCD-40B0-A1F4-D7FE9635DB39}"/>
    <w:embedBold r:id="rId3" w:fontKey="{548D25B1-C166-4DBF-B7B8-8D77996B7D60}"/>
    <w:embedItalic r:id="rId4" w:fontKey="{BAB21663-4177-4A21-A441-8EF8ADA95725}"/>
  </w:font>
  <w:font w:name="Cambria">
    <w:panose1 w:val="02040503050406030204"/>
    <w:charset w:val="00"/>
    <w:family w:val="roman"/>
    <w:pitch w:val="variable"/>
    <w:sig w:usb0="E00006FF" w:usb1="420024FF" w:usb2="02000000" w:usb3="00000000" w:csb0="0000019F" w:csb1="00000000"/>
    <w:embedRegular r:id="rId5" w:fontKey="{84055E02-5DDF-4851-8FB9-62EDAA12C0E1}"/>
  </w:font>
  <w:font w:name="Calibri">
    <w:panose1 w:val="020F0502020204030204"/>
    <w:charset w:val="00"/>
    <w:family w:val="swiss"/>
    <w:pitch w:val="variable"/>
    <w:sig w:usb0="E4002EFF" w:usb1="C200247B" w:usb2="00000009" w:usb3="00000000" w:csb0="000001FF" w:csb1="00000000"/>
    <w:embedRegular r:id="rId6" w:fontKey="{59C65905-6BB0-4030-A50E-98EF6EF6DF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1FE20" w14:textId="77777777" w:rsidR="009A392B"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1312" behindDoc="1" locked="0" layoutInCell="1" hidden="0" allowOverlap="1" wp14:anchorId="4C6198AF" wp14:editId="572B49C4">
              <wp:simplePos x="0" y="0"/>
              <wp:positionH relativeFrom="column">
                <wp:posOffset>58738</wp:posOffset>
              </wp:positionH>
              <wp:positionV relativeFrom="paragraph">
                <wp:posOffset>9179090</wp:posOffset>
              </wp:positionV>
              <wp:extent cx="7324725" cy="620395"/>
              <wp:effectExtent l="0" t="0" r="0" b="0"/>
              <wp:wrapNone/>
              <wp:docPr id="1780766434" name="Freeform: Shape 1780766434"/>
              <wp:cNvGraphicFramePr/>
              <a:graphic xmlns:a="http://schemas.openxmlformats.org/drawingml/2006/main">
                <a:graphicData uri="http://schemas.microsoft.com/office/word/2010/wordprocessingShape">
                  <wps:wsp>
                    <wps:cNvSpPr/>
                    <wps:spPr>
                      <a:xfrm>
                        <a:off x="1688400" y="3474565"/>
                        <a:ext cx="7315200" cy="610870"/>
                      </a:xfrm>
                      <a:custGeom>
                        <a:avLst/>
                        <a:gdLst/>
                        <a:ahLst/>
                        <a:cxnLst/>
                        <a:rect l="l" t="t" r="r" b="b"/>
                        <a:pathLst>
                          <a:path w="7315200" h="610870" extrusionOk="0">
                            <a:moveTo>
                              <a:pt x="7315200" y="0"/>
                            </a:moveTo>
                            <a:lnTo>
                              <a:pt x="0" y="0"/>
                            </a:lnTo>
                            <a:lnTo>
                              <a:pt x="0" y="610298"/>
                            </a:lnTo>
                            <a:lnTo>
                              <a:pt x="7315200" y="610298"/>
                            </a:lnTo>
                            <a:lnTo>
                              <a:pt x="7315200" y="0"/>
                            </a:lnTo>
                            <a:close/>
                          </a:path>
                        </a:pathLst>
                      </a:custGeom>
                      <a:solidFill>
                        <a:srgbClr val="354679"/>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58738</wp:posOffset>
              </wp:positionH>
              <wp:positionV relativeFrom="paragraph">
                <wp:posOffset>9179090</wp:posOffset>
              </wp:positionV>
              <wp:extent cx="7324725" cy="620395"/>
              <wp:effectExtent b="0" l="0" r="0" t="0"/>
              <wp:wrapNone/>
              <wp:docPr id="178076643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324725" cy="620395"/>
                      </a:xfrm>
                      <a:prstGeom prst="rect"/>
                      <a:ln/>
                    </pic:spPr>
                  </pic:pic>
                </a:graphicData>
              </a:graphic>
            </wp:anchor>
          </w:drawing>
        </mc:Fallback>
      </mc:AlternateContent>
    </w:r>
    <w:r>
      <w:rPr>
        <w:noProof/>
      </w:rPr>
      <mc:AlternateContent>
        <mc:Choice Requires="wps">
          <w:drawing>
            <wp:anchor distT="0" distB="0" distL="0" distR="0" simplePos="0" relativeHeight="251662336" behindDoc="1" locked="0" layoutInCell="1" hidden="0" allowOverlap="1" wp14:anchorId="32B9B607" wp14:editId="1988EB82">
              <wp:simplePos x="0" y="0"/>
              <wp:positionH relativeFrom="column">
                <wp:posOffset>263575</wp:posOffset>
              </wp:positionH>
              <wp:positionV relativeFrom="paragraph">
                <wp:posOffset>9215362</wp:posOffset>
              </wp:positionV>
              <wp:extent cx="6914515" cy="762635"/>
              <wp:effectExtent l="0" t="0" r="0" b="0"/>
              <wp:wrapNone/>
              <wp:docPr id="1780766433" name="Rectangle 1780766433"/>
              <wp:cNvGraphicFramePr/>
              <a:graphic xmlns:a="http://schemas.openxmlformats.org/drawingml/2006/main">
                <a:graphicData uri="http://schemas.microsoft.com/office/word/2010/wordprocessingShape">
                  <wps:wsp>
                    <wps:cNvSpPr/>
                    <wps:spPr>
                      <a:xfrm>
                        <a:off x="1893505" y="3403445"/>
                        <a:ext cx="6904990" cy="753110"/>
                      </a:xfrm>
                      <a:prstGeom prst="rect">
                        <a:avLst/>
                      </a:prstGeom>
                      <a:noFill/>
                      <a:ln>
                        <a:noFill/>
                      </a:ln>
                    </wps:spPr>
                    <wps:txbx>
                      <w:txbxContent>
                        <w:p w14:paraId="410E04F6" w14:textId="77777777" w:rsidR="009A392B" w:rsidRDefault="00000000">
                          <w:pPr>
                            <w:spacing w:before="12" w:line="270" w:lineRule="auto"/>
                            <w:ind w:left="2"/>
                            <w:jc w:val="center"/>
                            <w:textDirection w:val="btLr"/>
                          </w:pPr>
                          <w:r>
                            <w:rPr>
                              <w:color w:val="FFFFFF"/>
                              <w:sz w:val="28"/>
                            </w:rPr>
                            <w:t xml:space="preserve">This research summary is part of a series sponsored by the NAPSA Research to Practice Interest Group. The purpose of this research summary is to provide direct access to findings </w:t>
                          </w:r>
                          <w:proofErr w:type="gramStart"/>
                          <w:r>
                            <w:rPr>
                              <w:color w:val="FFFFFF"/>
                              <w:sz w:val="28"/>
                            </w:rPr>
                            <w:t>in order to</w:t>
                          </w:r>
                          <w:proofErr w:type="gramEnd"/>
                          <w:r>
                            <w:rPr>
                              <w:color w:val="FFFFFF"/>
                              <w:sz w:val="28"/>
                            </w:rPr>
                            <w:t xml:space="preserve"> enhance practice and clarify policy choices.</w:t>
                          </w:r>
                        </w:p>
                        <w:p w14:paraId="51E11B19" w14:textId="77777777" w:rsidR="009A392B" w:rsidRDefault="00000000">
                          <w:pPr>
                            <w:spacing w:before="65"/>
                            <w:ind w:left="2" w:right="2" w:firstLine="2"/>
                            <w:jc w:val="center"/>
                            <w:textDirection w:val="btLr"/>
                          </w:pPr>
                          <w:r>
                            <w:rPr>
                              <w:color w:val="000000"/>
                              <w:sz w:val="20"/>
                            </w:rPr>
                            <w:t xml:space="preserve"> PAGE 2</w:t>
                          </w:r>
                        </w:p>
                      </w:txbxContent>
                    </wps:txbx>
                    <wps:bodyPr spcFirstLastPara="1" wrap="square" lIns="0" tIns="0" rIns="0" bIns="0" anchor="t" anchorCtr="0">
                      <a:noAutofit/>
                    </wps:bodyPr>
                  </wps:wsp>
                </a:graphicData>
              </a:graphic>
            </wp:anchor>
          </w:drawing>
        </mc:Choice>
        <mc:Fallback>
          <w:pict>
            <v:rect w14:anchorId="32B9B607" id="Rectangle 1780766433" o:spid="_x0000_s1033" style="position:absolute;margin-left:20.75pt;margin-top:725.6pt;width:544.45pt;height:60.0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" filled="f" stroked="f">
              <v:textbox inset="0,0,0,0">
                <w:txbxContent>
                  <w:p w14:paraId="410E04F6" w14:textId="77777777" w:rsidR="009A392B" w:rsidRDefault="00000000">
                    <w:pPr>
                      <w:spacing w:before="12" w:line="270" w:lineRule="auto"/>
                      <w:ind w:left="2"/>
                      <w:jc w:val="center"/>
                      <w:textDirection w:val="btLr"/>
                    </w:pPr>
                    <w:r>
                      <w:rPr>
                        <w:color w:val="FFFFFF"/>
                        <w:sz w:val="28"/>
                      </w:rPr>
                      <w:t xml:space="preserve">This research summary is part of a series sponsored by the NAPSA Research to Practice Interest Group. The purpose of this research summary is to provide direct access to findings </w:t>
                    </w:r>
                    <w:proofErr w:type="gramStart"/>
                    <w:r>
                      <w:rPr>
                        <w:color w:val="FFFFFF"/>
                        <w:sz w:val="28"/>
                      </w:rPr>
                      <w:t>in order to</w:t>
                    </w:r>
                    <w:proofErr w:type="gramEnd"/>
                    <w:r>
                      <w:rPr>
                        <w:color w:val="FFFFFF"/>
                        <w:sz w:val="28"/>
                      </w:rPr>
                      <w:t xml:space="preserve"> enhance practice and clarify policy choices.</w:t>
                    </w:r>
                  </w:p>
                  <w:p w14:paraId="51E11B19" w14:textId="77777777" w:rsidR="009A392B" w:rsidRDefault="00000000">
                    <w:pPr>
                      <w:spacing w:before="65"/>
                      <w:ind w:left="2" w:right="2" w:firstLine="2"/>
                      <w:jc w:val="center"/>
                      <w:textDirection w:val="btLr"/>
                    </w:pPr>
                    <w:r>
                      <w:rPr>
                        <w:color w:val="000000"/>
                        <w:sz w:val="20"/>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95B5A" w14:textId="77777777" w:rsidR="009D10C2" w:rsidRDefault="009D10C2">
      <w:r>
        <w:separator/>
      </w:r>
    </w:p>
  </w:footnote>
  <w:footnote w:type="continuationSeparator" w:id="0">
    <w:p w14:paraId="2337730D" w14:textId="77777777" w:rsidR="009D10C2" w:rsidRDefault="009D1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5E31" w14:textId="77777777" w:rsidR="009A392B" w:rsidRDefault="00000000">
    <w:pPr>
      <w:pBdr>
        <w:top w:val="nil"/>
        <w:left w:val="nil"/>
        <w:bottom w:val="nil"/>
        <w:right w:val="nil"/>
        <w:between w:val="nil"/>
      </w:pBdr>
      <w:spacing w:line="14" w:lineRule="auto"/>
      <w:rPr>
        <w:color w:val="000000"/>
        <w:sz w:val="20"/>
        <w:szCs w:val="20"/>
      </w:rPr>
    </w:pPr>
    <w:r>
      <w:rPr>
        <w:noProof/>
        <w:color w:val="000000"/>
      </w:rPr>
      <mc:AlternateContent>
        <mc:Choice Requires="wpg">
          <w:drawing>
            <wp:anchor distT="0" distB="0" distL="0" distR="0" simplePos="0" relativeHeight="251658240" behindDoc="1" locked="0" layoutInCell="1" hidden="0" allowOverlap="1" wp14:anchorId="1873815A" wp14:editId="22362872">
              <wp:simplePos x="0" y="0"/>
              <wp:positionH relativeFrom="page">
                <wp:posOffset>228600</wp:posOffset>
              </wp:positionH>
              <wp:positionV relativeFrom="page">
                <wp:posOffset>228600</wp:posOffset>
              </wp:positionV>
              <wp:extent cx="7315200" cy="1073785"/>
              <wp:effectExtent l="0" t="0" r="0" b="0"/>
              <wp:wrapNone/>
              <wp:docPr id="1780766435" name="Group 1780766435"/>
              <wp:cNvGraphicFramePr/>
              <a:graphic xmlns:a="http://schemas.openxmlformats.org/drawingml/2006/main">
                <a:graphicData uri="http://schemas.microsoft.com/office/word/2010/wordprocessingGroup">
                  <wpg:wgp>
                    <wpg:cNvGrpSpPr/>
                    <wpg:grpSpPr>
                      <a:xfrm>
                        <a:off x="0" y="0"/>
                        <a:ext cx="7315200" cy="1073785"/>
                        <a:chOff x="1688400" y="3243100"/>
                        <a:chExt cx="7315200" cy="1073800"/>
                      </a:xfrm>
                    </wpg:grpSpPr>
                    <wpg:grpSp>
                      <wpg:cNvPr id="1077172903" name="Group 1077172903"/>
                      <wpg:cNvGrpSpPr/>
                      <wpg:grpSpPr>
                        <a:xfrm>
                          <a:off x="1688400" y="3243108"/>
                          <a:ext cx="7315708" cy="1073785"/>
                          <a:chOff x="0" y="0"/>
                          <a:chExt cx="7315708" cy="1073785"/>
                        </a:xfrm>
                      </wpg:grpSpPr>
                      <wps:wsp>
                        <wps:cNvPr id="2032500245" name="Rectangle 2032500245"/>
                        <wps:cNvSpPr/>
                        <wps:spPr>
                          <a:xfrm>
                            <a:off x="0" y="0"/>
                            <a:ext cx="7315200" cy="1073775"/>
                          </a:xfrm>
                          <a:prstGeom prst="rect">
                            <a:avLst/>
                          </a:prstGeom>
                          <a:noFill/>
                          <a:ln>
                            <a:noFill/>
                          </a:ln>
                        </wps:spPr>
                        <wps:txbx>
                          <w:txbxContent>
                            <w:p w14:paraId="34BFA036" w14:textId="77777777" w:rsidR="009A392B" w:rsidRDefault="009A392B">
                              <w:pPr>
                                <w:textDirection w:val="btLr"/>
                              </w:pPr>
                            </w:p>
                          </w:txbxContent>
                        </wps:txbx>
                        <wps:bodyPr spcFirstLastPara="1" wrap="square" lIns="91425" tIns="91425" rIns="91425" bIns="91425" anchor="ctr" anchorCtr="0">
                          <a:noAutofit/>
                        </wps:bodyPr>
                      </wps:wsp>
                      <wps:wsp>
                        <wps:cNvPr id="197263515" name="Freeform: Shape 197263515"/>
                        <wps:cNvSpPr/>
                        <wps:spPr>
                          <a:xfrm>
                            <a:off x="0" y="0"/>
                            <a:ext cx="2021839" cy="1073785"/>
                          </a:xfrm>
                          <a:custGeom>
                            <a:avLst/>
                            <a:gdLst/>
                            <a:ahLst/>
                            <a:cxnLst/>
                            <a:rect l="l" t="t" r="r" b="b"/>
                            <a:pathLst>
                              <a:path w="2021839" h="1073785" extrusionOk="0">
                                <a:moveTo>
                                  <a:pt x="2021713" y="0"/>
                                </a:moveTo>
                                <a:lnTo>
                                  <a:pt x="0" y="0"/>
                                </a:lnTo>
                                <a:lnTo>
                                  <a:pt x="0" y="1073784"/>
                                </a:lnTo>
                                <a:lnTo>
                                  <a:pt x="2021713" y="1073784"/>
                                </a:lnTo>
                                <a:lnTo>
                                  <a:pt x="2021713" y="0"/>
                                </a:lnTo>
                                <a:close/>
                              </a:path>
                            </a:pathLst>
                          </a:custGeom>
                          <a:solidFill>
                            <a:srgbClr val="354679"/>
                          </a:solidFill>
                          <a:ln>
                            <a:noFill/>
                          </a:ln>
                        </wps:spPr>
                        <wps:bodyPr spcFirstLastPara="1" wrap="square" lIns="91425" tIns="91425" rIns="91425" bIns="91425" anchor="ctr" anchorCtr="0">
                          <a:noAutofit/>
                        </wps:bodyPr>
                      </wps:wsp>
                      <wps:wsp>
                        <wps:cNvPr id="1184342001" name="Freeform: Shape 1184342001"/>
                        <wps:cNvSpPr/>
                        <wps:spPr>
                          <a:xfrm>
                            <a:off x="2021713" y="0"/>
                            <a:ext cx="5293995" cy="1073785"/>
                          </a:xfrm>
                          <a:custGeom>
                            <a:avLst/>
                            <a:gdLst/>
                            <a:ahLst/>
                            <a:cxnLst/>
                            <a:rect l="l" t="t" r="r" b="b"/>
                            <a:pathLst>
                              <a:path w="5293995" h="1073785" extrusionOk="0">
                                <a:moveTo>
                                  <a:pt x="5293487" y="0"/>
                                </a:moveTo>
                                <a:lnTo>
                                  <a:pt x="0" y="0"/>
                                </a:lnTo>
                                <a:lnTo>
                                  <a:pt x="0" y="1073784"/>
                                </a:lnTo>
                                <a:lnTo>
                                  <a:pt x="5293487" y="1073784"/>
                                </a:lnTo>
                                <a:lnTo>
                                  <a:pt x="5293487" y="0"/>
                                </a:lnTo>
                                <a:close/>
                              </a:path>
                            </a:pathLst>
                          </a:custGeom>
                          <a:solidFill>
                            <a:srgbClr val="94B13B"/>
                          </a:solidFill>
                          <a:ln>
                            <a:noFill/>
                          </a:ln>
                        </wps:spPr>
                        <wps:bodyPr spcFirstLastPara="1" wrap="square" lIns="91425" tIns="91425" rIns="91425" bIns="91425" anchor="ctr" anchorCtr="0">
                          <a:noAutofit/>
                        </wps:bodyPr>
                      </wps:wsp>
                    </wpg:grpSp>
                  </wpg:wgp>
                </a:graphicData>
              </a:graphic>
            </wp:anchor>
          </w:drawing>
        </mc:Choice>
        <mc:Fallback>
          <w:pict>
            <v:group w14:anchorId="1873815A" id="Group 1780766435" o:spid="_x0000_s1026" style="position:absolute;margin-left:18pt;margin-top:18pt;width:8in;height:84.55pt;z-index:-251658240;mso-wrap-distance-left:0;mso-wrap-distance-right:0;mso-position-horizontal-relative:page;mso-position-vertical-relative:page" coordorigin="16884,32431" coordsize="73152,10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">
              <v:group id="Group 1077172903" o:spid="_x0000_s1027" style="position:absolute;left:16884;top:32431;width:73157;height:10737" coordsize="73157,1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">
                <v:rect id="Rectangle 2032500245" o:spid="_x0000_s1028" style="position:absolute;width:73152;height:10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" filled="f" stroked="f">
                  <v:textbox inset="2.53958mm,2.53958mm,2.53958mm,2.53958mm">
                    <w:txbxContent>
                      <w:p w14:paraId="34BFA036" w14:textId="77777777" w:rsidR="009A392B" w:rsidRDefault="009A392B">
                        <w:pPr>
                          <w:textDirection w:val="btLr"/>
                        </w:pPr>
                      </w:p>
                    </w:txbxContent>
                  </v:textbox>
                </v:rect>
                <v:shape id="Freeform: Shape 197263515" o:spid="_x0000_s1029" style="position:absolute;width:20218;height:10737;visibility:visible;mso-wrap-style:square;v-text-anchor:middle" coordsize="2021839,107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" path="m2021713,l,,,1073784r2021713,l2021713,xe" fillcolor="#354679" stroked="f">
                  <v:path arrowok="t" o:extrusionok="f"/>
                </v:shape>
                <v:shape id="Freeform: Shape 1184342001" o:spid="_x0000_s1030" style="position:absolute;left:20217;width:52940;height:10737;visibility:visible;mso-wrap-style:square;v-text-anchor:middle" coordsize="5293995,107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" path="m5293487,l,,,1073784r5293487,l5293487,xe" fillcolor="#94b13b" stroked="f">
                  <v:path arrowok="t" o:extrusionok="f"/>
                </v:shape>
              </v:group>
              <w10:wrap anchorx="page" anchory="page"/>
            </v:group>
          </w:pict>
        </mc:Fallback>
      </mc:AlternateContent>
    </w:r>
    <w:r>
      <w:rPr>
        <w:noProof/>
        <w:color w:val="000000"/>
      </w:rPr>
      <mc:AlternateContent>
        <mc:Choice Requires="wps">
          <w:drawing>
            <wp:anchor distT="0" distB="0" distL="0" distR="0" simplePos="0" relativeHeight="251659264" behindDoc="1" locked="0" layoutInCell="1" hidden="0" allowOverlap="1" wp14:anchorId="12BA7396" wp14:editId="15F0F0A0">
              <wp:simplePos x="0" y="0"/>
              <wp:positionH relativeFrom="page">
                <wp:posOffset>273622</wp:posOffset>
              </wp:positionH>
              <wp:positionV relativeFrom="page">
                <wp:posOffset>182443</wp:posOffset>
              </wp:positionV>
              <wp:extent cx="1932305" cy="1189355"/>
              <wp:effectExtent l="0" t="0" r="0" b="0"/>
              <wp:wrapNone/>
              <wp:docPr id="1780766436" name="Rectangle 1780766436"/>
              <wp:cNvGraphicFramePr/>
              <a:graphic xmlns:a="http://schemas.openxmlformats.org/drawingml/2006/main">
                <a:graphicData uri="http://schemas.microsoft.com/office/word/2010/wordprocessingShape">
                  <wps:wsp>
                    <wps:cNvSpPr/>
                    <wps:spPr>
                      <a:xfrm>
                        <a:off x="4384610" y="3190085"/>
                        <a:ext cx="1922780" cy="1179830"/>
                      </a:xfrm>
                      <a:prstGeom prst="rect">
                        <a:avLst/>
                      </a:prstGeom>
                      <a:noFill/>
                      <a:ln>
                        <a:noFill/>
                      </a:ln>
                    </wps:spPr>
                    <wps:txbx>
                      <w:txbxContent>
                        <w:p w14:paraId="4F14DE32" w14:textId="77777777" w:rsidR="009A392B" w:rsidRDefault="00000000">
                          <w:pPr>
                            <w:spacing w:before="20"/>
                            <w:ind w:left="20" w:firstLine="20"/>
                            <w:textDirection w:val="btLr"/>
                          </w:pPr>
                          <w:r>
                            <w:rPr>
                              <w:rFonts w:ascii="Georgia" w:eastAsia="Georgia" w:hAnsi="Georgia" w:cs="Georgia"/>
                              <w:color w:val="FFFFFF"/>
                              <w:sz w:val="160"/>
                            </w:rPr>
                            <w:t>R2P</w:t>
                          </w:r>
                        </w:p>
                      </w:txbxContent>
                    </wps:txbx>
                    <wps:bodyPr spcFirstLastPara="1" wrap="square" lIns="0" tIns="0" rIns="0" bIns="0" anchor="t" anchorCtr="0">
                      <a:noAutofit/>
                    </wps:bodyPr>
                  </wps:wsp>
                </a:graphicData>
              </a:graphic>
            </wp:anchor>
          </w:drawing>
        </mc:Choice>
        <mc:Fallback>
          <w:pict>
            <v:rect w14:anchorId="12BA7396" id="Rectangle 1780766436" o:spid="_x0000_s1031" style="position:absolute;margin-left:21.55pt;margin-top:14.35pt;width:152.15pt;height:93.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" filled="f" stroked="f">
              <v:textbox inset="0,0,0,0">
                <w:txbxContent>
                  <w:p w14:paraId="4F14DE32" w14:textId="77777777" w:rsidR="009A392B" w:rsidRDefault="00000000">
                    <w:pPr>
                      <w:spacing w:before="20"/>
                      <w:ind w:left="20" w:firstLine="20"/>
                      <w:textDirection w:val="btLr"/>
                    </w:pPr>
                    <w:r>
                      <w:rPr>
                        <w:rFonts w:ascii="Georgia" w:eastAsia="Georgia" w:hAnsi="Georgia" w:cs="Georgia"/>
                        <w:color w:val="FFFFFF"/>
                        <w:sz w:val="160"/>
                      </w:rPr>
                      <w:t>R2P</w:t>
                    </w:r>
                  </w:p>
                </w:txbxContent>
              </v:textbox>
              <w10:wrap anchorx="page" anchory="page"/>
            </v:rect>
          </w:pict>
        </mc:Fallback>
      </mc:AlternateContent>
    </w:r>
    <w:r>
      <w:rPr>
        <w:noProof/>
        <w:color w:val="000000"/>
      </w:rPr>
      <mc:AlternateContent>
        <mc:Choice Requires="wps">
          <w:drawing>
            <wp:anchor distT="0" distB="0" distL="0" distR="0" simplePos="0" relativeHeight="251660288" behindDoc="1" locked="0" layoutInCell="1" hidden="0" allowOverlap="1" wp14:anchorId="574BE744" wp14:editId="15F3FDF0">
              <wp:simplePos x="0" y="0"/>
              <wp:positionH relativeFrom="page">
                <wp:posOffset>2437193</wp:posOffset>
              </wp:positionH>
              <wp:positionV relativeFrom="page">
                <wp:posOffset>387924</wp:posOffset>
              </wp:positionV>
              <wp:extent cx="4779010" cy="753745"/>
              <wp:effectExtent l="0" t="0" r="0" b="0"/>
              <wp:wrapNone/>
              <wp:docPr id="1780766432" name="Rectangle 1780766432"/>
              <wp:cNvGraphicFramePr/>
              <a:graphic xmlns:a="http://schemas.openxmlformats.org/drawingml/2006/main">
                <a:graphicData uri="http://schemas.microsoft.com/office/word/2010/wordprocessingShape">
                  <wps:wsp>
                    <wps:cNvSpPr/>
                    <wps:spPr>
                      <a:xfrm>
                        <a:off x="2961258" y="3407890"/>
                        <a:ext cx="4769485" cy="744220"/>
                      </a:xfrm>
                      <a:prstGeom prst="rect">
                        <a:avLst/>
                      </a:prstGeom>
                      <a:noFill/>
                      <a:ln>
                        <a:noFill/>
                      </a:ln>
                    </wps:spPr>
                    <wps:txbx>
                      <w:txbxContent>
                        <w:p w14:paraId="186A36CC" w14:textId="77777777" w:rsidR="009A392B" w:rsidRDefault="00000000">
                          <w:pPr>
                            <w:spacing w:before="11"/>
                            <w:ind w:left="22" w:firstLine="22"/>
                            <w:textDirection w:val="btLr"/>
                          </w:pPr>
                          <w:r>
                            <w:rPr>
                              <w:b/>
                              <w:color w:val="FFFFFF"/>
                              <w:sz w:val="28"/>
                            </w:rPr>
                            <w:t>National Adult Protective Services Association (NAPSA)</w:t>
                          </w:r>
                        </w:p>
                        <w:p w14:paraId="3DC4E2B0" w14:textId="77777777" w:rsidR="009A392B" w:rsidRDefault="00000000">
                          <w:pPr>
                            <w:spacing w:before="173"/>
                            <w:ind w:left="20" w:firstLine="20"/>
                            <w:textDirection w:val="btLr"/>
                          </w:pPr>
                          <w:r>
                            <w:rPr>
                              <w:b/>
                              <w:color w:val="FFFFFF"/>
                              <w:sz w:val="56"/>
                            </w:rPr>
                            <w:t>Research to Practice Series</w:t>
                          </w:r>
                        </w:p>
                      </w:txbxContent>
                    </wps:txbx>
                    <wps:bodyPr spcFirstLastPara="1" wrap="square" lIns="0" tIns="0" rIns="0" bIns="0" anchor="t" anchorCtr="0">
                      <a:noAutofit/>
                    </wps:bodyPr>
                  </wps:wsp>
                </a:graphicData>
              </a:graphic>
            </wp:anchor>
          </w:drawing>
        </mc:Choice>
        <mc:Fallback>
          <w:pict>
            <v:rect w14:anchorId="574BE744" id="Rectangle 1780766432" o:spid="_x0000_s1032" style="position:absolute;margin-left:191.9pt;margin-top:30.55pt;width:376.3pt;height:59.3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" filled="f" stroked="f">
              <v:textbox inset="0,0,0,0">
                <w:txbxContent>
                  <w:p w14:paraId="186A36CC" w14:textId="77777777" w:rsidR="009A392B" w:rsidRDefault="00000000">
                    <w:pPr>
                      <w:spacing w:before="11"/>
                      <w:ind w:left="22" w:firstLine="22"/>
                      <w:textDirection w:val="btLr"/>
                    </w:pPr>
                    <w:r>
                      <w:rPr>
                        <w:b/>
                        <w:color w:val="FFFFFF"/>
                        <w:sz w:val="28"/>
                      </w:rPr>
                      <w:t>National Adult Protective Services Association (NAPSA)</w:t>
                    </w:r>
                  </w:p>
                  <w:p w14:paraId="3DC4E2B0" w14:textId="77777777" w:rsidR="009A392B" w:rsidRDefault="00000000">
                    <w:pPr>
                      <w:spacing w:before="173"/>
                      <w:ind w:left="20" w:firstLine="20"/>
                      <w:textDirection w:val="btLr"/>
                    </w:pPr>
                    <w:r>
                      <w:rPr>
                        <w:b/>
                        <w:color w:val="FFFFFF"/>
                        <w:sz w:val="56"/>
                      </w:rPr>
                      <w:t>Research to Practice Series</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95D42"/>
    <w:multiLevelType w:val="multilevel"/>
    <w:tmpl w:val="7222F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0178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92B"/>
    <w:rsid w:val="00382BC7"/>
    <w:rsid w:val="009A392B"/>
    <w:rsid w:val="009D10C2"/>
    <w:rsid w:val="00E120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607A1"/>
  <w15:docId w15:val="{5D872CEC-0D08-4792-8F7A-0684F414A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0"/>
      <w:ind w:left="20"/>
    </w:pPr>
    <w:rPr>
      <w:rFonts w:ascii="Georgia" w:eastAsia="Georgia" w:hAnsi="Georgia" w:cs="Georgia"/>
      <w:sz w:val="160"/>
      <w:szCs w:val="160"/>
    </w:rPr>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41"/>
      <w:ind w:left="2" w:right="2"/>
      <w:jc w:val="center"/>
    </w:pPr>
    <w:rPr>
      <w:rFonts w:ascii="Georgia" w:eastAsia="Georgia" w:hAnsi="Georgia" w:cs="Georgia"/>
    </w:rPr>
  </w:style>
  <w:style w:type="paragraph" w:styleId="Revision">
    <w:name w:val="Revision"/>
    <w:hidden/>
    <w:uiPriority w:val="99"/>
    <w:semiHidden/>
    <w:rsid w:val="001E641B"/>
    <w:pPr>
      <w:widowControl/>
    </w:pPr>
  </w:style>
  <w:style w:type="paragraph" w:styleId="NormalWeb">
    <w:name w:val="Normal (Web)"/>
    <w:basedOn w:val="Normal"/>
    <w:uiPriority w:val="99"/>
    <w:semiHidden/>
    <w:unhideWhenUsed/>
    <w:rsid w:val="00C512AB"/>
    <w:rPr>
      <w:rFonts w:ascii="Times New Roman" w:hAnsi="Times New Roman" w:cs="Times New Roman"/>
      <w:sz w:val="24"/>
      <w:szCs w:val="24"/>
    </w:rPr>
  </w:style>
  <w:style w:type="character" w:styleId="Hyperlink">
    <w:name w:val="Hyperlink"/>
    <w:basedOn w:val="DefaultParagraphFont"/>
    <w:uiPriority w:val="99"/>
    <w:unhideWhenUsed/>
    <w:rsid w:val="00CE495B"/>
    <w:rPr>
      <w:color w:val="0000FF" w:themeColor="hyperlink"/>
      <w:u w:val="single"/>
    </w:rPr>
  </w:style>
  <w:style w:type="character" w:styleId="UnresolvedMention">
    <w:name w:val="Unresolved Mention"/>
    <w:basedOn w:val="DefaultParagraphFont"/>
    <w:uiPriority w:val="99"/>
    <w:semiHidden/>
    <w:unhideWhenUsed/>
    <w:rsid w:val="00CE495B"/>
    <w:rPr>
      <w:color w:val="605E5C"/>
      <w:shd w:val="clear" w:color="auto" w:fill="E1DFDD"/>
    </w:rPr>
  </w:style>
  <w:style w:type="character" w:styleId="CommentReference">
    <w:name w:val="annotation reference"/>
    <w:basedOn w:val="DefaultParagraphFont"/>
    <w:uiPriority w:val="99"/>
    <w:semiHidden/>
    <w:unhideWhenUsed/>
    <w:rsid w:val="009E3BB6"/>
    <w:rPr>
      <w:sz w:val="16"/>
      <w:szCs w:val="16"/>
    </w:rPr>
  </w:style>
  <w:style w:type="paragraph" w:styleId="CommentText">
    <w:name w:val="annotation text"/>
    <w:basedOn w:val="Normal"/>
    <w:link w:val="CommentTextChar"/>
    <w:uiPriority w:val="99"/>
    <w:unhideWhenUsed/>
    <w:rsid w:val="009E3BB6"/>
    <w:rPr>
      <w:sz w:val="20"/>
      <w:szCs w:val="20"/>
    </w:rPr>
  </w:style>
  <w:style w:type="character" w:customStyle="1" w:styleId="CommentTextChar">
    <w:name w:val="Comment Text Char"/>
    <w:basedOn w:val="DefaultParagraphFont"/>
    <w:link w:val="CommentText"/>
    <w:uiPriority w:val="99"/>
    <w:rsid w:val="009E3BB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E3BB6"/>
    <w:rPr>
      <w:b/>
      <w:bCs/>
    </w:rPr>
  </w:style>
  <w:style w:type="character" w:customStyle="1" w:styleId="CommentSubjectChar">
    <w:name w:val="Comment Subject Char"/>
    <w:basedOn w:val="CommentTextChar"/>
    <w:link w:val="CommentSubject"/>
    <w:uiPriority w:val="99"/>
    <w:semiHidden/>
    <w:rsid w:val="009E3BB6"/>
    <w:rPr>
      <w:rFonts w:ascii="Arial" w:eastAsia="Arial" w:hAnsi="Arial" w:cs="Arial"/>
      <w:b/>
      <w:bCs/>
      <w:sz w:val="20"/>
      <w:szCs w:val="20"/>
    </w:rPr>
  </w:style>
  <w:style w:type="character" w:styleId="FollowedHyperlink">
    <w:name w:val="FollowedHyperlink"/>
    <w:basedOn w:val="DefaultParagraphFont"/>
    <w:uiPriority w:val="99"/>
    <w:semiHidden/>
    <w:unhideWhenUsed/>
    <w:rsid w:val="009E3BB6"/>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loradolab.org/wp-content/uploads/2026/02/AR-Policy-Brief_Nov-2025_FINAL.pdf"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loradolab.org/resources/building-evidence-for-alternative-response-in-adult-protective-services/%20https:/coloradolab.org/resources/building-evidence-for-alternative-response-in-adult-protective-servi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g.colorado.gov/bills/sb21-118"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yLtyb2VtflL5zaH002IIfeQ24g==">CgMxLjA4AHIhMUlRN2FRalZtMjlydXFJVG5LTUhaQmV5UVA0cGNBcWRx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880</Words>
  <Characters>5018</Characters>
  <Application>Microsoft Office Word</Application>
  <DocSecurity>0</DocSecurity>
  <Lines>41</Lines>
  <Paragraphs>11</Paragraphs>
  <ScaleCrop>false</ScaleCrop>
  <Company>CDHS</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Capehart</dc:creator>
  <cp:lastModifiedBy>Felder, Erica</cp:lastModifiedBy>
  <cp:revision>2</cp:revision>
  <dcterms:created xsi:type="dcterms:W3CDTF">2026-02-09T20:48:00Z</dcterms:created>
  <dcterms:modified xsi:type="dcterms:W3CDTF">2026-02-11T14:27:00Z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2017-07-19T00:00:00Z</vt:filetime>
  </property>
  <property fmtid="{D5CDD505-2E9C-101B-9397-08002B2CF9AE}" pid="3" name="Creator">
    <vt:lpwstr>Microsoft® Publisher 2016</vt:lpwstr>
  </property>
  <property fmtid="{D5CDD505-2E9C-101B-9397-08002B2CF9AE}" pid="4" name="LastSaved">
    <vt:filetime>2024-06-28T00:00:00Z</vt:filetime>
  </property>
  <property fmtid="{D5CDD505-2E9C-101B-9397-08002B2CF9AE}" pid="5" name="Producer">
    <vt:lpwstr>Microsoft® Publisher 2016</vt:lpwstr>
  </property>
  <property fmtid="{D5CDD505-2E9C-101B-9397-08002B2CF9AE}" pid="6" name="_NewReviewCycle">
    <vt:lpwstr/>
  </property>
</Properties>
</file>